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default" w:ascii="黑体" w:hAnsi="黑体" w:eastAsia="黑体" w:cs="黑体"/>
          <w:bCs/>
          <w:sz w:val="32"/>
          <w:szCs w:val="32"/>
          <w:highlight w:val="none"/>
          <w:shd w:val="clear" w:color="auto" w:fill="auto"/>
          <w:lang w:eastAsia="zh-CN"/>
        </w:rPr>
        <w:t>1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auto"/>
          <w:lang w:eastAsia="zh-CN"/>
        </w:rPr>
        <w:t>省级工作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shd w:val="clear" w:color="auto" w:fill="auto"/>
          <w:lang w:eastAsia="zh-CN"/>
        </w:rPr>
        <w:t>方案</w:t>
      </w:r>
      <w:r>
        <w:rPr>
          <w:rFonts w:hint="eastAsia" w:ascii="宋体" w:hAnsi="宋体" w:cs="宋体"/>
          <w:b/>
          <w:bCs w:val="0"/>
          <w:sz w:val="36"/>
          <w:szCs w:val="36"/>
          <w:highlight w:val="none"/>
          <w:shd w:val="clear" w:color="auto" w:fill="auto"/>
          <w:lang w:eastAsia="zh-CN"/>
        </w:rPr>
        <w:t>编报指南</w:t>
      </w:r>
    </w:p>
    <w:p>
      <w:pPr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0"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32" w:firstLineChars="200"/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</w:rPr>
        <w:t>一、</w:t>
      </w:r>
      <w:r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基本情况</w:t>
      </w:r>
    </w:p>
    <w:p>
      <w:pPr>
        <w:autoSpaceDE w:val="0"/>
        <w:autoSpaceDN w:val="0"/>
        <w:adjustRightInd w:val="0"/>
        <w:snapToGrid w:val="0"/>
        <w:spacing w:line="360" w:lineRule="auto"/>
        <w:ind w:firstLine="634" w:firstLineChars="200"/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" w:hAnsi="Times" w:eastAsia="楷体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（一）</w:t>
      </w:r>
      <w:r>
        <w:rPr>
          <w:rFonts w:hint="default" w:ascii="Times" w:hAnsi="Times" w:eastAsia="楷体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农产品流通</w:t>
      </w:r>
      <w:r>
        <w:rPr>
          <w:rFonts w:hint="eastAsia" w:ascii="Times" w:hAnsi="Times" w:eastAsia="楷体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情况</w:t>
      </w:r>
      <w:r>
        <w:rPr>
          <w:rFonts w:hint="default" w:ascii="Times" w:hAnsi="Times" w:eastAsia="楷体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。</w:t>
      </w:r>
      <w:r>
        <w:rPr>
          <w:rFonts w:hint="default" w:ascii="Times" w:hAnsi="Times" w:eastAsia="仿宋_GB2312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本地区农产品产销情况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，包括：主要鲜活农产品消费量、本地区产量、自给率、跨区域调入/调出量、流通的主要渠道等。</w:t>
      </w:r>
      <w:r>
        <w:rPr>
          <w:rFonts w:hint="default" w:ascii="Times" w:hAnsi="Times" w:eastAsia="仿宋_GB2312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本地区农产品冷链情况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，包括：本地区集散地（农产品批发市场）、主销地（城市）各类冷链设施的规模、分布、市场需求等情况。设施类型包括但不限于公共冷库、配送中心、冷藏车辆等。</w:t>
      </w:r>
      <w:r>
        <w:rPr>
          <w:rFonts w:hint="default" w:ascii="Times" w:hAnsi="Times" w:eastAsia="仿宋_GB2312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农产品市场应急保供情况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，包括：本地区农产品保供应急预案和相关工作机制，跨区域农产品对接调运、物流中转、终端配送等环节流程设计和制度安排，农产品市场应急保供队伍等。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有关摸底数据应客观准确，</w:t>
      </w:r>
      <w:r>
        <w:rPr>
          <w:rFonts w:hint="default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eastAsia="zh-CN"/>
        </w:rPr>
        <w:t>并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经</w:t>
      </w:r>
      <w:r>
        <w:rPr>
          <w:rFonts w:hint="default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eastAsia="zh-CN"/>
        </w:rPr>
        <w:t>省级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商务主管部门审核确认。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4" w:firstLineChars="200"/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" w:hAnsi="Times" w:eastAsia="楷体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（二）</w:t>
      </w:r>
      <w:r>
        <w:rPr>
          <w:rFonts w:hint="default" w:ascii="Times" w:hAnsi="Times" w:eastAsia="楷体" w:cs="Times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前期工作进展。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农产品流通体系建设实施情况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，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包括省级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工作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文件、协调机制、责任分工、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配套政策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等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落实举措，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2012</w:t>
      </w:r>
      <w:r>
        <w:rPr>
          <w:rFonts w:hint="eastAsia" w:ascii="仿宋_GB2312" w:hAnsi="仿宋_GB2312" w:eastAsia="仿宋_GB2312" w:cs="仿宋_GB2312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年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以来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中央财政资金支持农产品流通体系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建设情况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、取得的成效和存在问题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2" w:firstLineChars="200"/>
        <w:rPr>
          <w:rFonts w:hint="default" w:ascii="Times" w:hAnsi="Times" w:eastAsia="黑体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default" w:ascii="Times" w:hAnsi="Times" w:eastAsia="黑体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二、目标任务</w:t>
      </w:r>
    </w:p>
    <w:p>
      <w:pPr>
        <w:autoSpaceDE w:val="0"/>
        <w:autoSpaceDN w:val="0"/>
        <w:adjustRightInd w:val="0"/>
        <w:snapToGrid w:val="0"/>
        <w:spacing w:line="360" w:lineRule="auto"/>
        <w:ind w:firstLine="632" w:firstLineChars="200"/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根据本地区产、运、销规模和未来发展趋势，综合研判集散地、销地冷链设施总体缺口，在此基础上，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围绕本通知，结合摸底情况，提出本省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农产品供应链体系建设两年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总体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目标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根据本省选择的支持方向，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细化分解总体目标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，按年度明确所需冷链设施的主要类型、布局和建设规模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有关目标任务要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可量化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、</w:t>
      </w:r>
      <w:r>
        <w:rPr>
          <w:rFonts w:hint="default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可考核</w:t>
      </w:r>
      <w:r>
        <w:rPr>
          <w:rFonts w:hint="eastAsia" w:ascii="Times" w:hAnsi="Times" w:eastAsia="仿宋_GB2312" w:cs="Times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，明确</w:t>
      </w:r>
      <w:r>
        <w:rPr>
          <w:rFonts w:hint="default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时间表、路线图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和</w:t>
      </w:r>
      <w:r>
        <w:rPr>
          <w:rFonts w:hint="default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责任分工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Fonts w:hint="default" w:ascii="Nuosu SIL" w:hAnsi="Nuosu SIL" w:eastAsia="仿宋_GB2312" w:cs="Nuosu SIL"/>
          <w:sz w:val="32"/>
          <w:szCs w:val="32"/>
          <w:lang w:eastAsia="zh-CN"/>
        </w:rPr>
        <w:t>工作方案应思路清晰、目标明确、重点突出、措施有效、责任明晰、数字详实</w:t>
      </w:r>
      <w:r>
        <w:rPr>
          <w:rFonts w:hint="eastAsia" w:ascii="Nuosu SIL" w:hAnsi="Nuosu SIL" w:eastAsia="仿宋_GB2312" w:cs="Nuosu SIL"/>
          <w:sz w:val="32"/>
          <w:szCs w:val="32"/>
          <w:lang w:val="en-US" w:eastAsia="zh-CN"/>
        </w:rPr>
        <w:t>。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请填制《总体目标及年度分解任务表》</w:t>
      </w:r>
      <w:r>
        <w:rPr>
          <w:rFonts w:hint="default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eastAsia="zh-CN"/>
        </w:rPr>
        <w:t>（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1</w:t>
      </w:r>
      <w:r>
        <w:rPr>
          <w:rFonts w:hint="default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eastAsia="zh-CN"/>
        </w:rPr>
        <w:t>）</w:t>
      </w:r>
      <w:r>
        <w:rPr>
          <w:rFonts w:hint="eastAsia" w:ascii="Times" w:hAnsi="Times" w:eastAsia="仿宋_GB2312" w:cs="Times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2" w:firstLineChars="200"/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三</w:t>
      </w:r>
      <w:r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</w:rPr>
        <w:t>、</w:t>
      </w:r>
      <w:r>
        <w:rPr>
          <w:rFonts w:hint="eastAsia" w:ascii="黑体" w:hAnsi="黑体" w:eastAsia="黑体" w:cs="黑体"/>
          <w:sz w:val="32"/>
          <w:szCs w:val="32"/>
          <w:highlight w:val="none"/>
          <w:shd w:val="clear" w:color="auto" w:fill="auto"/>
          <w:lang w:val="en-US" w:eastAsia="zh-CN"/>
        </w:rPr>
        <w:t>重点工作</w:t>
      </w:r>
    </w:p>
    <w:p>
      <w:pPr>
        <w:autoSpaceDE w:val="0"/>
        <w:autoSpaceDN w:val="0"/>
        <w:adjustRightInd w:val="0"/>
        <w:snapToGrid w:val="0"/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（一）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增强农产品批发市场冷链流通能力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。（必填）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（二）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提高冷链物流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重点干支线配送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效率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（必填）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42" w:firstLineChars="200"/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（三）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完善农产品零售终端冷链环境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。（选填）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42" w:firstLineChars="200"/>
        <w:rPr>
          <w:rFonts w:hint="eastAsia"/>
          <w:lang w:eastAsia="zh-CN"/>
        </w:rPr>
      </w:pP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（四）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统筹</w:t>
      </w:r>
      <w:r>
        <w:rPr>
          <w:rFonts w:hint="default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eastAsia="zh-CN"/>
        </w:rPr>
        <w:t>支持农产品市场保供。</w:t>
      </w: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（选填）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32" w:firstLineChars="200"/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四、</w:t>
      </w:r>
      <w:r>
        <w:rPr>
          <w:rFonts w:hint="default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</w:rPr>
        <w:t>资金安排</w:t>
      </w:r>
      <w:r>
        <w:rPr>
          <w:rFonts w:hint="eastAsia" w:ascii="Times New Roman" w:hAnsi="Times New Roman" w:eastAsia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及项目计划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各省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自主统筹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安排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农产品供应链体系建设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补助资金。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项目计划包括：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本省拟支持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项目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清单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以及项目选择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程序、依据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、责任主体等。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有关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项目应落实责任单位、考核安排、实施目标等，并注重项目的可持续性。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shd w:val="clear" w:color="auto" w:fill="auto"/>
          <w:lang w:eastAsia="zh-CN"/>
        </w:rPr>
        <w:t>对在外地注册法人但在本地有实体的非法人机构，及在本地注册法人但在周边地区建设实体的机构，可在本地申报项目。</w:t>
      </w:r>
      <w:r>
        <w:rPr>
          <w:rFonts w:hint="eastAsia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val="en-US" w:eastAsia="zh-CN"/>
        </w:rPr>
        <w:t>请填制《</w:t>
      </w:r>
      <w:r>
        <w:rPr>
          <w:rFonts w:hint="default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eastAsia="zh-CN"/>
        </w:rPr>
        <w:t>农产品供应链体系建设</w:t>
      </w:r>
      <w:r>
        <w:rPr>
          <w:rFonts w:hint="eastAsia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val="en-US" w:eastAsia="zh-CN"/>
        </w:rPr>
        <w:t>项目</w:t>
      </w:r>
      <w:r>
        <w:rPr>
          <w:rFonts w:hint="default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eastAsia="zh-CN"/>
        </w:rPr>
        <w:t>清单</w:t>
      </w:r>
      <w:r>
        <w:rPr>
          <w:rFonts w:hint="eastAsia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val="en-US" w:eastAsia="zh-CN"/>
        </w:rPr>
        <w:t>》</w:t>
      </w:r>
      <w:r>
        <w:rPr>
          <w:rFonts w:hint="default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eastAsia="zh-CN"/>
        </w:rPr>
        <w:t>（</w:t>
      </w:r>
      <w:r>
        <w:rPr>
          <w:rFonts w:hint="eastAsia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shd w:val="clear" w:color="auto" w:fill="auto"/>
          <w:lang w:eastAsia="zh-CN"/>
        </w:rPr>
        <w:t>）</w:t>
      </w:r>
      <w:r>
        <w:rPr>
          <w:rFonts w:hint="eastAsia" w:ascii="Times" w:hAnsi="Times" w:eastAsia="仿宋_GB2312" w:cs="Times"/>
          <w:sz w:val="32"/>
          <w:szCs w:val="32"/>
          <w:highlight w:val="none"/>
          <w:u w:val="none"/>
          <w:shd w:val="clear" w:color="auto" w:fill="auto"/>
          <w:lang w:val="en-US" w:eastAsia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2" w:firstLineChars="200"/>
        <w:rPr>
          <w:rFonts w:hint="eastAsia" w:ascii="黑体" w:hAnsi="黑体" w:eastAsia="黑体" w:cs="黑体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default" w:ascii="黑体" w:hAnsi="黑体" w:eastAsia="黑体" w:cs="黑体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五</w:t>
      </w:r>
      <w:r>
        <w:rPr>
          <w:rFonts w:hint="eastAsia" w:ascii="黑体" w:hAnsi="黑体" w:eastAsia="黑体" w:cs="黑体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>、保障机制</w:t>
      </w:r>
    </w:p>
    <w:p>
      <w:pPr>
        <w:autoSpaceDE w:val="0"/>
        <w:autoSpaceDN w:val="0"/>
        <w:adjustRightInd w:val="0"/>
        <w:snapToGrid w:val="0"/>
        <w:spacing w:line="360" w:lineRule="auto"/>
        <w:ind w:firstLine="634" w:firstLineChars="200"/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（一）资金管理制度。</w:t>
      </w:r>
      <w:r>
        <w:rPr>
          <w:rFonts w:hint="default" w:ascii="Times" w:hAnsi="Times" w:eastAsia="仿宋_GB2312" w:cs="Times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结合</w:t>
      </w:r>
      <w:r>
        <w:rPr>
          <w:rFonts w:hint="eastAsia" w:ascii="Times" w:hAnsi="Times" w:eastAsia="仿宋_GB2312" w:cs="Times"/>
          <w:b w:val="0"/>
          <w:bC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本</w:t>
      </w:r>
      <w:r>
        <w:rPr>
          <w:rFonts w:hint="eastAsia" w:ascii="Times" w:hAnsi="Times" w:eastAsia="仿宋_GB2312" w:cs="Times"/>
          <w:b w:val="0"/>
          <w:bC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通知</w:t>
      </w:r>
      <w:r>
        <w:rPr>
          <w:rFonts w:hint="default" w:ascii="Times" w:hAnsi="Times" w:eastAsia="仿宋_GB2312" w:cs="Times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明确的</w:t>
      </w:r>
      <w:r>
        <w:rPr>
          <w:rFonts w:hint="eastAsia" w:ascii="Times" w:hAnsi="Times" w:eastAsia="仿宋_GB2312" w:cs="Times"/>
          <w:b w:val="0"/>
          <w:bC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支持方向，</w:t>
      </w:r>
      <w:r>
        <w:rPr>
          <w:rFonts w:hint="default" w:ascii="Times" w:hAnsi="Times" w:eastAsia="仿宋_GB2312" w:cs="Times"/>
          <w:b w:val="0"/>
          <w:bCs w:val="0"/>
          <w:spacing w:val="0"/>
          <w:sz w:val="32"/>
          <w:szCs w:val="32"/>
          <w:highlight w:val="none"/>
          <w:u w:val="none"/>
          <w:shd w:val="clear" w:color="auto" w:fill="auto"/>
          <w:lang w:eastAsia="zh-CN"/>
        </w:rPr>
        <w:t>进一步细化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提出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本省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资金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管理制度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，包括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支持方向、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项目类型、具体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内容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、支持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标准、绩效管理等。对于支持实施的项目应实事求是确定实施期限、支持条件、后续维护运营等要求，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并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建立相应的绩效评价指标体系等。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2" w:firstLineChars="200"/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shd w:val="clear" w:color="auto" w:fill="auto"/>
          <w:lang w:val="en-US" w:eastAsia="zh-CN"/>
        </w:rPr>
        <w:t>（二）项目管理制度。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提出项目遴选、组织实施、资金拨付、监督考核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Hans"/>
        </w:rPr>
        <w:t>等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工作机制。要求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建立“企业</w:t>
      </w:r>
      <w:r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目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录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+项目</w:t>
      </w:r>
      <w:r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清单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”机制，加强项目管理。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明确项目验收主体、要件、验收流程等，形成</w:t>
      </w:r>
      <w:r>
        <w:rPr>
          <w:rFonts w:hint="default" w:ascii="Times" w:hAnsi="Times" w:eastAsia="仿宋_GB2312" w:cs="Times"/>
          <w:sz w:val="32"/>
          <w:szCs w:val="32"/>
          <w:highlight w:val="none"/>
          <w:shd w:val="clear" w:color="auto" w:fill="auto"/>
          <w:lang w:eastAsia="zh-CN"/>
        </w:rPr>
        <w:t>项目可持续发挥作用的</w:t>
      </w:r>
      <w:r>
        <w:rPr>
          <w:rFonts w:hint="eastAsia" w:ascii="Times" w:hAnsi="Times" w:eastAsia="仿宋_GB2312" w:cs="Times"/>
          <w:sz w:val="32"/>
          <w:szCs w:val="32"/>
          <w:highlight w:val="none"/>
          <w:shd w:val="clear" w:color="auto" w:fill="auto"/>
          <w:lang w:val="en-US" w:eastAsia="zh-CN"/>
        </w:rPr>
        <w:t>长效机制。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34" w:firstLineChars="200"/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</w:rPr>
      </w:pPr>
      <w:r>
        <w:rPr>
          <w:rFonts w:hint="eastAsia" w:ascii="楷体" w:hAnsi="楷体" w:eastAsia="楷体" w:cs="楷体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（三）日常监督机制。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省级财政、商务主管部门加强机制管理、资源统筹、经费保障等措施，鼓励发挥第三方机构作用。调动地市级主管部门积极性、主动性，在日常监管中履行属地管理责任。可引入审计、监理咨询等第三方机构，规范决策过程，加强资金和项目审核。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</w:p>
    <w:p>
      <w:pPr>
        <w:autoSpaceDE w:val="0"/>
        <w:autoSpaceDN w:val="0"/>
        <w:adjustRightInd w:val="0"/>
        <w:snapToGrid w:val="0"/>
        <w:spacing w:line="360" w:lineRule="auto"/>
        <w:ind w:firstLine="634" w:firstLineChars="200"/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（四）信息公开机制。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</w:rPr>
        <w:t>进一步加强政务公开和信息报送的政策措施，省级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商务、财政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</w:rPr>
        <w:t>主管部门设置公开专栏情况。</w:t>
      </w:r>
      <w:r>
        <w:rPr>
          <w:rFonts w:hint="eastAsia" w:ascii="Times New Roman" w:hAnsi="Times New Roman" w:eastAsia="仿宋_GB2312"/>
          <w:color w:val="000000"/>
          <w:spacing w:val="-2"/>
          <w:sz w:val="32"/>
          <w:szCs w:val="32"/>
          <w:highlight w:val="none"/>
          <w:shd w:val="clear" w:color="auto" w:fill="auto"/>
          <w:lang w:eastAsia="zh-CN"/>
        </w:rPr>
        <w:t>明确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凡是获得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Hans"/>
        </w:rPr>
        <w:t>服务业资金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的地方和企业，须按要求填报项目相关信息数据</w:t>
      </w:r>
      <w:r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和日常业务经营数据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，各级主管部门依法保护信息安全。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 xml:space="preserve">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附：1.总体目标及年度分解任务表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auto"/>
          <w:lang w:eastAsia="zh-CN"/>
        </w:rPr>
        <w:t>农产品</w:t>
      </w:r>
      <w:r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供应链体系建设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  <w:t>项目</w:t>
      </w:r>
      <w:r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清单</w:t>
      </w:r>
      <w:r>
        <w:rPr>
          <w:rFonts w:hint="eastAsia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eastAsia="zh-CN"/>
        </w:rPr>
        <w:t>（示例）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default" w:ascii="Times" w:hAnsi="Times" w:eastAsia="仿宋_GB2312" w:cs="Nimbus Roman No9 L"/>
          <w:color w:val="000000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2"/>
        <w:spacing w:line="360" w:lineRule="auto"/>
        <w:ind w:firstLine="0"/>
        <w:jc w:val="left"/>
        <w:rPr>
          <w:rFonts w:hint="default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  <w:t>附1</w:t>
      </w:r>
    </w:p>
    <w:p>
      <w:pPr>
        <w:pStyle w:val="2"/>
        <w:spacing w:line="360" w:lineRule="auto"/>
        <w:ind w:firstLine="0"/>
        <w:jc w:val="center"/>
        <w:rPr>
          <w:rFonts w:hint="eastAsia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</w:pPr>
      <w:r>
        <w:rPr>
          <w:rFonts w:hint="default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  <w:t>总体目标及年度分解任务</w:t>
      </w:r>
      <w:r>
        <w:rPr>
          <w:rFonts w:hint="eastAsia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3053"/>
        <w:gridCol w:w="1500"/>
        <w:gridCol w:w="1435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支持方向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指标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2021年底数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2022年</w:t>
            </w:r>
            <w:r>
              <w:rPr>
                <w:rFonts w:hint="default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目标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2023年目标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增强农产品批发市场冷链流通能力*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农产品批发市场冷库库容  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黑体" w:hAnsi="黑体" w:eastAsia="黑体" w:cs="黑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其中：公共冷库库容*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  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加工配送中心库容*   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中央厨房冷藏能力  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其他冷链设施      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提高</w:t>
            </w:r>
            <w:r>
              <w:rPr>
                <w:rFonts w:hint="eastAsia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冷链物流重点干支线配送</w:t>
            </w:r>
            <w:r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效率*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销地冷链集配中心（多温区）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数量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库容*     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冷藏车辆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（辆）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低温配送中心 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 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数量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库容*  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冷藏车辆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（辆）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农产品冷链物流园区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数量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库容   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冷藏车辆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（辆）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其他类型农产品冷链设施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库容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冷藏车辆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（辆）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u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98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黑体" w:hAnsi="黑体" w:eastAsia="黑体" w:cs="黑体"/>
                <w:b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完善农产品零售终端冷链环境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连锁商超终端冷藏能力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农贸市场</w:t>
            </w: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、菜市场冷藏能力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生鲜电商等社区前置仓数量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（个）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 xml:space="preserve">社区前置仓冷库库容        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xx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m³</w:t>
            </w:r>
            <w:r>
              <w:rPr>
                <w:rFonts w:hint="default" w:ascii="仿宋_GB2312" w:hAnsi="仿宋_GB2312" w:eastAsia="仿宋_GB2312" w:cs="仿宋_GB2312"/>
                <w:bCs w:val="0"/>
                <w:color w:val="auto"/>
                <w:spacing w:val="0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）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98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</w:pP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pacing w:val="-2"/>
                <w:kern w:val="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 w:bidi="ar-SA"/>
              </w:rPr>
              <w:t>统筹支持农产品市场保供</w:t>
            </w:r>
          </w:p>
        </w:tc>
        <w:tc>
          <w:tcPr>
            <w:tcW w:w="3053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pStyle w:val="2"/>
              <w:spacing w:line="24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rPr>
          <w:rFonts w:hint="default"/>
        </w:rPr>
      </w:pPr>
      <w:r>
        <w:rPr>
          <w:rFonts w:hint="eastAsia"/>
          <w:lang w:eastAsia="zh-CN"/>
        </w:rPr>
        <w:t>注：标注“</w:t>
      </w:r>
      <w:r>
        <w:rPr>
          <w:rFonts w:hint="default" w:ascii="宋体" w:hAnsi="宋体" w:eastAsia="宋体" w:cs="宋体"/>
          <w:color w:val="000000"/>
          <w:spacing w:val="-2"/>
          <w:sz w:val="21"/>
          <w:szCs w:val="21"/>
          <w:highlight w:val="none"/>
          <w:shd w:val="clear" w:color="auto" w:fill="auto"/>
          <w:vertAlign w:val="baseline"/>
          <w:lang w:eastAsia="zh-CN"/>
        </w:rPr>
        <w:t>*</w:t>
      </w:r>
      <w:r>
        <w:rPr>
          <w:rFonts w:hint="eastAsia"/>
          <w:lang w:eastAsia="zh-CN"/>
        </w:rPr>
        <w:t>”的支持方向和指标为必填项。</w:t>
      </w:r>
    </w:p>
    <w:p/>
    <w:p>
      <w:pPr>
        <w:pStyle w:val="2"/>
        <w:keepLines w:val="0"/>
        <w:spacing w:line="360" w:lineRule="auto"/>
        <w:ind w:firstLine="0"/>
        <w:jc w:val="left"/>
        <w:rPr>
          <w:rFonts w:hint="default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  <w:t>附</w:t>
      </w:r>
      <w:r>
        <w:rPr>
          <w:rFonts w:hint="eastAsia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val="en-US" w:eastAsia="zh-CN"/>
        </w:rPr>
        <w:t>2</w:t>
      </w:r>
    </w:p>
    <w:p>
      <w:pPr>
        <w:pStyle w:val="2"/>
        <w:keepLines w:val="0"/>
        <w:spacing w:line="360" w:lineRule="auto"/>
        <w:ind w:firstLine="0"/>
        <w:jc w:val="center"/>
        <w:rPr>
          <w:rFonts w:ascii="宋体" w:hAnsi="宋体" w:eastAsia="宋体" w:cs="宋体"/>
          <w:b/>
          <w:bCs w:val="0"/>
          <w:color w:val="000000"/>
          <w:spacing w:val="-2"/>
          <w:szCs w:val="21"/>
          <w:highlight w:val="none"/>
          <w:shd w:val="clear" w:color="auto" w:fill="auto"/>
        </w:rPr>
      </w:pPr>
      <w:r>
        <w:rPr>
          <w:rFonts w:hint="default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eastAsia="zh-CN"/>
        </w:rPr>
        <w:t>农产品供应链体系建设</w:t>
      </w:r>
      <w:r>
        <w:rPr>
          <w:rFonts w:hint="eastAsia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  <w:lang w:val="en-US" w:eastAsia="zh-CN"/>
        </w:rPr>
        <w:t>项目清单</w:t>
      </w:r>
      <w:r>
        <w:rPr>
          <w:rFonts w:hint="default" w:ascii="黑体" w:hAnsi="黑体" w:eastAsia="黑体" w:cs="黑体"/>
          <w:color w:val="000000"/>
          <w:spacing w:val="-2"/>
          <w:sz w:val="28"/>
          <w:szCs w:val="28"/>
          <w:highlight w:val="none"/>
          <w:shd w:val="clear" w:color="auto" w:fill="auto"/>
        </w:rPr>
        <w:t>（示例）</w:t>
      </w:r>
    </w:p>
    <w:tbl>
      <w:tblPr>
        <w:tblStyle w:val="5"/>
        <w:tblW w:w="9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784"/>
        <w:gridCol w:w="1474"/>
        <w:gridCol w:w="760"/>
        <w:gridCol w:w="1305"/>
        <w:gridCol w:w="795"/>
        <w:gridCol w:w="735"/>
        <w:gridCol w:w="764"/>
        <w:gridCol w:w="750"/>
        <w:gridCol w:w="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年度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位置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项目名称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建设类型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承办企业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总投资额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奖补金额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kern w:val="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建设内容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kern w:val="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建设周期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实现</w:t>
            </w:r>
          </w:p>
          <w:p>
            <w:pPr>
              <w:pStyle w:val="2"/>
              <w:keepLines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restart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2022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年</w:t>
            </w:r>
          </w:p>
        </w:tc>
        <w:tc>
          <w:tcPr>
            <w:tcW w:w="784" w:type="dxa"/>
            <w:vMerge w:val="restart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××市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</w:t>
            </w: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农产品批发市场冷链设施升级改造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新建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××批发市场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pacing w:val="-2"/>
                <w:kern w:val="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购置</w:t>
            </w: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××设施设备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2022.03-</w:t>
            </w:r>
          </w:p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bCs/>
                <w:color w:val="000000"/>
                <w:spacing w:val="-2"/>
                <w:kern w:val="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2023.01</w:t>
            </w:r>
          </w:p>
        </w:tc>
        <w:tc>
          <w:tcPr>
            <w:tcW w:w="71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××销地低温配送中心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改造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××流通企业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更新</w:t>
            </w: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××设施设备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41" w:type="dxa"/>
            <w:vMerge w:val="continue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84" w:type="dxa"/>
            <w:vMerge w:val="continue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××社区前置仓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新建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××电商平台企业</w:t>
            </w: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jc w:val="both"/>
              <w:rPr>
                <w:rFonts w:hint="default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  <w:t>2023年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  <w:t>.....</w:t>
            </w:r>
          </w:p>
        </w:tc>
        <w:tc>
          <w:tcPr>
            <w:tcW w:w="147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76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  <w:tc>
          <w:tcPr>
            <w:tcW w:w="715" w:type="dxa"/>
            <w:noWrap w:val="0"/>
            <w:vAlign w:val="top"/>
          </w:tcPr>
          <w:p>
            <w:pPr>
              <w:pStyle w:val="2"/>
              <w:keepLines w:val="0"/>
              <w:spacing w:line="360" w:lineRule="auto"/>
              <w:rPr>
                <w:rFonts w:hint="eastAsia" w:ascii="宋体" w:hAnsi="宋体" w:eastAsia="宋体" w:cs="宋体"/>
                <w:color w:val="000000"/>
                <w:spacing w:val="-2"/>
                <w:sz w:val="21"/>
                <w:szCs w:val="21"/>
                <w:highlight w:val="none"/>
                <w:shd w:val="clear" w:color="auto" w:fill="auto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注：各省根据细化支持事项，建立分年度储备项目库。其中，</w:t>
      </w:r>
      <w:r>
        <w:rPr>
          <w:rFonts w:hint="eastAsia" w:ascii="仿宋_GB2312" w:hAnsi="仿宋_GB2312" w:eastAsia="仿宋_GB2312" w:cs="仿宋_GB2312"/>
          <w:lang w:eastAsia="zh-CN"/>
        </w:rPr>
        <w:t>2022</w:t>
      </w:r>
      <w:r>
        <w:rPr>
          <w:rFonts w:hint="eastAsia"/>
          <w:lang w:eastAsia="zh-CN"/>
        </w:rPr>
        <w:t>年度项目清单应与省级工作方案一并报备。其他年度项目已明确的一并报备，未明确的可后续进行调整、完善。</w:t>
      </w:r>
    </w:p>
    <w:p>
      <w:pPr>
        <w:spacing w:line="360" w:lineRule="auto"/>
      </w:pPr>
    </w:p>
    <w:p>
      <w:pPr>
        <w:rPr>
          <w:rFonts w:hint="eastAsia" w:eastAsia="宋体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Times">
    <w:altName w:val="DejaVu Sans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 No9 L">
    <w:altName w:val="Noto Serif CJK JP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uosu SIL">
    <w:altName w:val="DejaVu Math TeX Gyre"/>
    <w:panose1 w:val="02000000000000000000"/>
    <w:charset w:val="00"/>
    <w:family w:val="auto"/>
    <w:pitch w:val="default"/>
    <w:sig w:usb0="00000000" w:usb1="00000000" w:usb2="00080010" w:usb3="00000000" w:csb0="00020003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B636D"/>
    <w:rsid w:val="6BEB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600" w:lineRule="exact"/>
      <w:outlineLvl w:val="1"/>
    </w:pPr>
    <w:rPr>
      <w:rFonts w:ascii="Calibri Light" w:hAnsi="Calibri Light" w:eastAsia="楷体" w:cs="Times New Roman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2022-05-26T08:47:00Z</dcterms:created>
  <dc:creator>Admin</dc:creator>
  <cp:lastModifiedBy>Admin</cp:lastModifiedBy>
  <dcterms:modified xsi:type="dcterms:W3CDTF">2022-05-26T09:48:06Z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