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pPr>
      <w:r>
        <w:rPr>
          <w:rFonts w:hint="eastAsia" w:ascii="黑体" w:hAnsi="黑体" w:eastAsia="黑体" w:cs="黑体"/>
          <w:sz w:val="32"/>
          <w:szCs w:val="32"/>
        </w:rPr>
        <w:t>附</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件</w:t>
      </w:r>
    </w:p>
    <w:p>
      <w:pPr>
        <w:spacing w:before="156" w:beforeLines="50"/>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国家级服务业标准化试点（商贸流通专项）</w:t>
      </w: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第</w:t>
      </w:r>
      <w:bookmarkStart w:id="0" w:name="_GoBack"/>
      <w:bookmarkEnd w:id="0"/>
      <w:r>
        <w:rPr>
          <w:rFonts w:hint="eastAsia" w:ascii="方正小标宋简体" w:hAnsi="方正小标宋简体" w:eastAsia="方正小标宋简体" w:cs="方正小标宋简体"/>
          <w:sz w:val="36"/>
          <w:szCs w:val="36"/>
        </w:rPr>
        <w:t>一批典型经验做法</w:t>
      </w:r>
    </w:p>
    <w:p/>
    <w:tbl>
      <w:tblPr>
        <w:tblStyle w:val="7"/>
        <w:tblW w:w="9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3"/>
        <w:gridCol w:w="1794"/>
        <w:gridCol w:w="5085"/>
        <w:gridCol w:w="74"/>
        <w:gridCol w:w="1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753" w:type="dxa"/>
            <w:vAlign w:val="center"/>
          </w:tcPr>
          <w:p>
            <w:pPr>
              <w:jc w:val="center"/>
              <w:rPr>
                <w:rFonts w:ascii="黑体" w:hAnsi="黑体" w:eastAsia="黑体" w:cs="黑体"/>
                <w:sz w:val="24"/>
                <w:szCs w:val="24"/>
              </w:rPr>
            </w:pPr>
            <w:r>
              <w:rPr>
                <w:rFonts w:hint="eastAsia" w:ascii="黑体" w:hAnsi="黑体" w:eastAsia="黑体" w:cs="黑体"/>
                <w:sz w:val="24"/>
                <w:szCs w:val="24"/>
              </w:rPr>
              <w:t>序号</w:t>
            </w:r>
          </w:p>
        </w:tc>
        <w:tc>
          <w:tcPr>
            <w:tcW w:w="1794" w:type="dxa"/>
            <w:vAlign w:val="center"/>
          </w:tcPr>
          <w:p>
            <w:pPr>
              <w:jc w:val="center"/>
              <w:rPr>
                <w:rFonts w:ascii="黑体" w:hAnsi="黑体" w:eastAsia="黑体" w:cs="黑体"/>
                <w:sz w:val="24"/>
                <w:szCs w:val="24"/>
              </w:rPr>
            </w:pPr>
            <w:r>
              <w:rPr>
                <w:rFonts w:hint="eastAsia" w:ascii="黑体" w:hAnsi="黑体" w:eastAsia="黑体" w:cs="黑体"/>
                <w:sz w:val="24"/>
                <w:szCs w:val="24"/>
              </w:rPr>
              <w:t>典型经验</w:t>
            </w:r>
          </w:p>
        </w:tc>
        <w:tc>
          <w:tcPr>
            <w:tcW w:w="5085" w:type="dxa"/>
            <w:vAlign w:val="center"/>
          </w:tcPr>
          <w:p>
            <w:pPr>
              <w:jc w:val="center"/>
              <w:rPr>
                <w:rFonts w:ascii="黑体" w:hAnsi="黑体" w:eastAsia="黑体" w:cs="黑体"/>
                <w:sz w:val="24"/>
                <w:szCs w:val="24"/>
              </w:rPr>
            </w:pPr>
            <w:r>
              <w:rPr>
                <w:rFonts w:hint="eastAsia" w:ascii="黑体" w:hAnsi="黑体" w:eastAsia="黑体" w:cs="黑体"/>
                <w:sz w:val="24"/>
                <w:szCs w:val="24"/>
              </w:rPr>
              <w:t>主要做法</w:t>
            </w:r>
          </w:p>
        </w:tc>
        <w:tc>
          <w:tcPr>
            <w:tcW w:w="1402" w:type="dxa"/>
            <w:gridSpan w:val="2"/>
            <w:vAlign w:val="center"/>
          </w:tcPr>
          <w:p>
            <w:pPr>
              <w:jc w:val="center"/>
              <w:rPr>
                <w:rFonts w:ascii="黑体" w:hAnsi="黑体" w:eastAsia="黑体" w:cs="黑体"/>
                <w:sz w:val="24"/>
                <w:szCs w:val="24"/>
              </w:rPr>
            </w:pPr>
            <w:r>
              <w:rPr>
                <w:rFonts w:hint="eastAsia" w:ascii="黑体" w:hAnsi="黑体" w:eastAsia="黑体" w:cs="黑体"/>
                <w:sz w:val="24"/>
                <w:szCs w:val="24"/>
              </w:rPr>
              <w:t>试点主体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034" w:type="dxa"/>
            <w:gridSpan w:val="5"/>
            <w:vAlign w:val="center"/>
          </w:tcPr>
          <w:p>
            <w:pPr>
              <w:jc w:val="left"/>
              <w:rPr>
                <w:rFonts w:ascii="黑体" w:hAnsi="黑体" w:eastAsia="黑体" w:cs="黑体"/>
                <w:sz w:val="24"/>
                <w:szCs w:val="24"/>
              </w:rPr>
            </w:pPr>
            <w:r>
              <w:rPr>
                <w:rFonts w:hint="eastAsia" w:ascii="黑体" w:hAnsi="黑体" w:eastAsia="黑体" w:cs="黑体"/>
                <w:sz w:val="24"/>
                <w:szCs w:val="24"/>
              </w:rPr>
              <w:t>一、标准化助力商贸流通企业创新发展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6" w:hRule="atLeast"/>
          <w:jc w:val="center"/>
        </w:trPr>
        <w:tc>
          <w:tcPr>
            <w:tcW w:w="753" w:type="dxa"/>
            <w:vAlign w:val="center"/>
          </w:tcPr>
          <w:p>
            <w:pPr>
              <w:jc w:val="center"/>
              <w:rPr>
                <w:rFonts w:ascii="黑体" w:hAnsi="黑体" w:eastAsia="黑体" w:cs="黑体"/>
                <w:sz w:val="24"/>
                <w:szCs w:val="24"/>
              </w:rPr>
            </w:pPr>
            <w:r>
              <w:rPr>
                <w:rFonts w:hint="eastAsia" w:ascii="黑体" w:hAnsi="黑体" w:eastAsia="黑体" w:cs="黑体"/>
                <w:sz w:val="24"/>
                <w:szCs w:val="24"/>
              </w:rPr>
              <w:t>1</w:t>
            </w:r>
          </w:p>
        </w:tc>
        <w:tc>
          <w:tcPr>
            <w:tcW w:w="1794" w:type="dxa"/>
            <w:vAlign w:val="center"/>
          </w:tcPr>
          <w:p>
            <w:pPr>
              <w:tabs>
                <w:tab w:val="left" w:pos="1102"/>
              </w:tabs>
              <w:rPr>
                <w:rFonts w:ascii="仿宋_GB2312" w:hAnsi="仿宋_GB2312" w:eastAsia="仿宋_GB2312" w:cs="仿宋_GB2312"/>
                <w:sz w:val="24"/>
                <w:szCs w:val="24"/>
              </w:rPr>
            </w:pPr>
            <w:r>
              <w:rPr>
                <w:rFonts w:hint="eastAsia" w:ascii="仿宋_GB2312" w:hAnsi="仿宋_GB2312" w:eastAsia="仿宋_GB2312" w:cs="仿宋_GB2312"/>
                <w:sz w:val="24"/>
                <w:szCs w:val="24"/>
              </w:rPr>
              <w:t>健全标准化服务体系，实现市场数字化、智能化转变。</w:t>
            </w:r>
          </w:p>
        </w:tc>
        <w:tc>
          <w:tcPr>
            <w:tcW w:w="5159" w:type="dxa"/>
            <w:gridSpan w:val="2"/>
            <w:vAlign w:val="center"/>
          </w:tcPr>
          <w:p>
            <w:pPr>
              <w:rPr>
                <w:color w:val="FF0000"/>
              </w:rPr>
            </w:pPr>
            <w:r>
              <w:rPr>
                <w:rFonts w:hint="eastAsia" w:ascii="仿宋_GB2312" w:hAnsi="仿宋_GB2312" w:eastAsia="仿宋_GB2312" w:cs="仿宋_GB2312"/>
                <w:sz w:val="24"/>
                <w:szCs w:val="24"/>
              </w:rPr>
              <w:t>以打造商贸流通领域“全球市场、一个品牌、统一质量标准认证体系”为目标，建立标准化协作机制，制定标准化工作管理制度，以标准为统领，整合市场多数据平台信息，促进市场设施改造升级，构建全流程、全链条、全维度的标准化服务体系，实现数字化、智能化升级。</w:t>
            </w:r>
          </w:p>
        </w:tc>
        <w:tc>
          <w:tcPr>
            <w:tcW w:w="132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湖南高桥大市场股份有限公司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3" w:hRule="atLeast"/>
          <w:jc w:val="center"/>
        </w:trPr>
        <w:tc>
          <w:tcPr>
            <w:tcW w:w="753" w:type="dxa"/>
            <w:vAlign w:val="center"/>
          </w:tcPr>
          <w:p>
            <w:pPr>
              <w:jc w:val="center"/>
              <w:rPr>
                <w:rFonts w:ascii="黑体" w:hAnsi="黑体" w:eastAsia="黑体" w:cs="黑体"/>
                <w:sz w:val="24"/>
                <w:szCs w:val="24"/>
              </w:rPr>
            </w:pPr>
            <w:r>
              <w:rPr>
                <w:rFonts w:hint="eastAsia" w:ascii="黑体" w:hAnsi="黑体" w:eastAsia="黑体" w:cs="黑体"/>
                <w:sz w:val="24"/>
                <w:szCs w:val="24"/>
              </w:rPr>
              <w:t>2</w:t>
            </w:r>
          </w:p>
        </w:tc>
        <w:tc>
          <w:tcPr>
            <w:tcW w:w="1794" w:type="dxa"/>
            <w:vAlign w:val="center"/>
          </w:tcPr>
          <w:p>
            <w:pPr>
              <w:tabs>
                <w:tab w:val="left" w:pos="1102"/>
              </w:tabs>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推动零售新模式标准化，促进消费提质扩容。</w:t>
            </w:r>
          </w:p>
        </w:tc>
        <w:tc>
          <w:tcPr>
            <w:tcW w:w="5159" w:type="dxa"/>
            <w:gridSpan w:val="2"/>
            <w:vAlign w:val="center"/>
          </w:tcPr>
          <w:p>
            <w:pPr>
              <w:tabs>
                <w:tab w:val="left" w:pos="1102"/>
              </w:tabs>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通过对物流、仓储、陈列、交易、出餐、履约、售后等岗位实施标准化管理，打造线上线下服务新场景，构建以国家标准为基础</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团体标准和企业标准相配套的</w:t>
            </w:r>
            <w:r>
              <w:rPr>
                <w:rFonts w:hint="eastAsia" w:ascii="仿宋_GB2312" w:hAnsi="仿宋_GB2312" w:eastAsia="仿宋_GB2312" w:cs="仿宋_GB2312"/>
                <w:sz w:val="24"/>
                <w:szCs w:val="24"/>
                <w:lang w:eastAsia="zh-CN"/>
              </w:rPr>
              <w:t>零售</w:t>
            </w:r>
            <w:r>
              <w:rPr>
                <w:rFonts w:hint="eastAsia" w:ascii="仿宋_GB2312" w:hAnsi="仿宋_GB2312" w:eastAsia="仿宋_GB2312" w:cs="仿宋_GB2312"/>
                <w:sz w:val="24"/>
                <w:szCs w:val="24"/>
              </w:rPr>
              <w:t>服务标准化体系，涵盖管理、技术、操作等900余项标准，初步形成了“移动互联网+零售餐饮一体化”的标准化零售新模式，促进消费提质扩容。</w:t>
            </w:r>
          </w:p>
        </w:tc>
        <w:tc>
          <w:tcPr>
            <w:tcW w:w="132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上海盒马网络科技有限公司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9" w:hRule="atLeast"/>
          <w:jc w:val="center"/>
        </w:trPr>
        <w:tc>
          <w:tcPr>
            <w:tcW w:w="753" w:type="dxa"/>
            <w:vAlign w:val="center"/>
          </w:tcPr>
          <w:p>
            <w:pPr>
              <w:jc w:val="center"/>
              <w:rPr>
                <w:rFonts w:ascii="黑体" w:hAnsi="黑体" w:eastAsia="黑体" w:cs="黑体"/>
                <w:sz w:val="24"/>
                <w:szCs w:val="24"/>
              </w:rPr>
            </w:pPr>
            <w:r>
              <w:rPr>
                <w:rFonts w:hint="eastAsia" w:ascii="黑体" w:hAnsi="黑体" w:eastAsia="黑体" w:cs="黑体"/>
                <w:sz w:val="24"/>
                <w:szCs w:val="24"/>
              </w:rPr>
              <w:t>3</w:t>
            </w:r>
          </w:p>
        </w:tc>
        <w:tc>
          <w:tcPr>
            <w:tcW w:w="1794"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大宗贸易实现线上标准化操作，推动传统农牧产业转型升级。</w:t>
            </w:r>
          </w:p>
        </w:tc>
        <w:tc>
          <w:tcPr>
            <w:tcW w:w="5159" w:type="dxa"/>
            <w:gridSpan w:val="2"/>
            <w:vAlign w:val="center"/>
          </w:tcPr>
          <w:p>
            <w:pPr>
              <w:rPr>
                <w:color w:val="FF0000"/>
              </w:rPr>
            </w:pPr>
            <w:r>
              <w:rPr>
                <w:rFonts w:hint="eastAsia" w:ascii="仿宋_GB2312" w:hAnsi="仿宋_GB2312" w:eastAsia="仿宋_GB2312" w:cs="仿宋_GB2312"/>
                <w:sz w:val="24"/>
                <w:szCs w:val="24"/>
              </w:rPr>
              <w:t>以大宗牛羊肉冻品贸易为切入点，建设集供应链金融、智慧云仓监管、产业互联网为一体的服务体系，实现采购、运输、销售、订单、合同、融资、库管等环节线上操作标准化，引导传统农牧产业转型升级。立足终端消费需求，通过统一标识、统一装修、统一培训、统一结算、统一品牌授权，创新社区非连锁生鲜零售模式，以标准化提升产品品牌价值。</w:t>
            </w:r>
          </w:p>
        </w:tc>
        <w:tc>
          <w:tcPr>
            <w:tcW w:w="132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青海青稞和牛羊肉交易中心有限公司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753" w:type="dxa"/>
            <w:vAlign w:val="center"/>
          </w:tcPr>
          <w:p>
            <w:pPr>
              <w:jc w:val="center"/>
              <w:rPr>
                <w:rFonts w:ascii="黑体" w:hAnsi="黑体" w:eastAsia="黑体" w:cs="黑体"/>
                <w:sz w:val="24"/>
                <w:szCs w:val="24"/>
              </w:rPr>
            </w:pPr>
            <w:r>
              <w:rPr>
                <w:rFonts w:hint="eastAsia" w:ascii="黑体" w:hAnsi="黑体" w:eastAsia="黑体" w:cs="黑体"/>
                <w:sz w:val="24"/>
                <w:szCs w:val="24"/>
              </w:rPr>
              <w:t>4</w:t>
            </w:r>
          </w:p>
        </w:tc>
        <w:tc>
          <w:tcPr>
            <w:tcW w:w="1794"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以标准化促进数字化转型，打造家政产业新生态。</w:t>
            </w:r>
          </w:p>
        </w:tc>
        <w:tc>
          <w:tcPr>
            <w:tcW w:w="5159" w:type="dxa"/>
            <w:gridSpan w:val="2"/>
            <w:vAlign w:val="center"/>
          </w:tcPr>
          <w:p>
            <w:pPr>
              <w:rPr>
                <w:color w:val="FF0000"/>
              </w:rPr>
            </w:pPr>
            <w:r>
              <w:rPr>
                <w:rFonts w:hint="eastAsia" w:ascii="仿宋_GB2312" w:hAnsi="仿宋_GB2312" w:eastAsia="仿宋_GB2312" w:cs="仿宋_GB2312"/>
                <w:sz w:val="24"/>
                <w:szCs w:val="24"/>
              </w:rPr>
              <w:t>聚焦家政人员技能提升、家政企业高效经营、用户放心消费等关键节点，主导或参与制定《家庭保洁服务质量评价规范》《家政O2O服务规范》等行业标准和地方标准，建立家政职业培训标准体系，自主研发数字化平台，形成家政企业及服务人员诚信数据库，实现家政服务可查可评可追溯，以标准化赋能家政全产业链，重构全链路、全业态、全场景家政产业健康生态圈。</w:t>
            </w:r>
          </w:p>
        </w:tc>
        <w:tc>
          <w:tcPr>
            <w:tcW w:w="132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江苏斑马软件技术有限公司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9034" w:type="dxa"/>
            <w:gridSpan w:val="5"/>
            <w:vAlign w:val="center"/>
          </w:tcPr>
          <w:p>
            <w:pPr>
              <w:jc w:val="left"/>
              <w:rPr>
                <w:rFonts w:ascii="仿宋_GB2312" w:hAnsi="仿宋_GB2312" w:eastAsia="仿宋_GB2312" w:cs="仿宋_GB2312"/>
                <w:sz w:val="24"/>
                <w:szCs w:val="24"/>
              </w:rPr>
            </w:pPr>
            <w:r>
              <w:rPr>
                <w:rFonts w:hint="eastAsia" w:ascii="黑体" w:hAnsi="黑体" w:eastAsia="黑体" w:cs="黑体"/>
                <w:sz w:val="24"/>
                <w:szCs w:val="24"/>
              </w:rPr>
              <w:t>二、标准化推动流通行业协调发展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1" w:hRule="atLeast"/>
          <w:jc w:val="center"/>
        </w:trPr>
        <w:tc>
          <w:tcPr>
            <w:tcW w:w="753" w:type="dxa"/>
            <w:vAlign w:val="center"/>
          </w:tcPr>
          <w:p>
            <w:pPr>
              <w:jc w:val="center"/>
              <w:rPr>
                <w:rFonts w:ascii="黑体" w:hAnsi="黑体" w:eastAsia="黑体" w:cs="黑体"/>
                <w:sz w:val="24"/>
                <w:szCs w:val="24"/>
              </w:rPr>
            </w:pPr>
            <w:r>
              <w:rPr>
                <w:rFonts w:hint="eastAsia" w:ascii="黑体" w:hAnsi="黑体" w:eastAsia="黑体" w:cs="黑体"/>
                <w:sz w:val="24"/>
                <w:szCs w:val="24"/>
              </w:rPr>
              <w:t>5</w:t>
            </w:r>
          </w:p>
        </w:tc>
        <w:tc>
          <w:tcPr>
            <w:tcW w:w="1794"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发挥标准化试点支撑作用，加速建设淮海经济区商贸中心城市。</w:t>
            </w:r>
          </w:p>
        </w:tc>
        <w:tc>
          <w:tcPr>
            <w:tcW w:w="5159" w:type="dxa"/>
            <w:gridSpan w:val="2"/>
            <w:vAlign w:val="center"/>
          </w:tcPr>
          <w:p>
            <w:r>
              <w:rPr>
                <w:rFonts w:hint="eastAsia" w:ascii="仿宋_GB2312" w:hAnsi="仿宋_GB2312" w:eastAsia="仿宋_GB2312" w:cs="仿宋_GB2312"/>
                <w:sz w:val="24"/>
                <w:szCs w:val="24"/>
              </w:rPr>
              <w:t>建立标准化联席会议制度，印发《徐州市商贸流通标准体系建设工作指导意见》《徐州市国家级服务业标准化试点（商贸流通提质增效专项）实施方案》，确定建立健全五大标准体系、四项重点工作，遴选13家市级试点企业，以点带面全面推进试点建设，充分发挥标准化试点支撑作用，加速建设淮海经济区商贸中心城市。</w:t>
            </w:r>
          </w:p>
        </w:tc>
        <w:tc>
          <w:tcPr>
            <w:tcW w:w="132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徐州市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jc w:val="center"/>
        </w:trPr>
        <w:tc>
          <w:tcPr>
            <w:tcW w:w="753" w:type="dxa"/>
            <w:vAlign w:val="center"/>
          </w:tcPr>
          <w:p>
            <w:pPr>
              <w:jc w:val="center"/>
              <w:rPr>
                <w:rFonts w:ascii="黑体" w:hAnsi="黑体" w:eastAsia="黑体" w:cs="黑体"/>
                <w:sz w:val="24"/>
                <w:szCs w:val="24"/>
              </w:rPr>
            </w:pPr>
            <w:r>
              <w:rPr>
                <w:rFonts w:hint="eastAsia" w:ascii="黑体" w:hAnsi="黑体" w:eastAsia="黑体" w:cs="黑体"/>
                <w:sz w:val="24"/>
                <w:szCs w:val="24"/>
              </w:rPr>
              <w:t>6</w:t>
            </w:r>
          </w:p>
        </w:tc>
        <w:tc>
          <w:tcPr>
            <w:tcW w:w="1794"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标准化助力构建市乡村三级商贸流通综合服务体系。</w:t>
            </w:r>
          </w:p>
        </w:tc>
        <w:tc>
          <w:tcPr>
            <w:tcW w:w="5159" w:type="dxa"/>
            <w:gridSpan w:val="2"/>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依托“为农服务综合平台”，立足企业标准化、低碳化、绿色化、数字化发展需要，将标准化发展理念贯穿企业农产品流通业务全过程，搭建科学合理的农产品流通标准体系，积极推进供销合作社基层组织、服务网络向农村延伸，构建起农产品、工业品双向畅通的流通网络。</w:t>
            </w:r>
          </w:p>
        </w:tc>
        <w:tc>
          <w:tcPr>
            <w:tcW w:w="132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河北</w:t>
            </w:r>
            <w:r>
              <w:rPr>
                <w:rFonts w:hint="eastAsia" w:ascii="仿宋_GB2312" w:hAnsi="仿宋_GB2312" w:eastAsia="仿宋_GB2312" w:cs="仿宋_GB2312"/>
                <w:sz w:val="24"/>
                <w:szCs w:val="24"/>
                <w:lang w:eastAsia="zh-CN"/>
              </w:rPr>
              <w:t>省</w:t>
            </w:r>
            <w:r>
              <w:rPr>
                <w:rFonts w:hint="eastAsia" w:ascii="仿宋_GB2312" w:hAnsi="仿宋_GB2312" w:eastAsia="仿宋_GB2312" w:cs="仿宋_GB2312"/>
                <w:sz w:val="24"/>
                <w:szCs w:val="24"/>
              </w:rPr>
              <w:t>定州供销商贸有限公司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1" w:hRule="atLeast"/>
          <w:jc w:val="center"/>
        </w:trPr>
        <w:tc>
          <w:tcPr>
            <w:tcW w:w="753" w:type="dxa"/>
            <w:vAlign w:val="center"/>
          </w:tcPr>
          <w:p>
            <w:pPr>
              <w:jc w:val="center"/>
              <w:rPr>
                <w:rFonts w:ascii="黑体" w:hAnsi="黑体" w:eastAsia="黑体" w:cs="黑体"/>
                <w:sz w:val="24"/>
                <w:szCs w:val="24"/>
              </w:rPr>
            </w:pPr>
            <w:r>
              <w:rPr>
                <w:rFonts w:hint="eastAsia" w:ascii="黑体" w:hAnsi="黑体" w:eastAsia="黑体" w:cs="黑体"/>
                <w:sz w:val="24"/>
                <w:szCs w:val="24"/>
              </w:rPr>
              <w:t>7</w:t>
            </w:r>
          </w:p>
        </w:tc>
        <w:tc>
          <w:tcPr>
            <w:tcW w:w="1794"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供应链标准体系助力乡村商贸流通降本增效。</w:t>
            </w:r>
          </w:p>
        </w:tc>
        <w:tc>
          <w:tcPr>
            <w:tcW w:w="5159" w:type="dxa"/>
            <w:gridSpan w:val="2"/>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以标准化托盘及其循环共用为切入点，在农副产品、电子商务、仓储物流等重点领域，构建物流、信息流、商流、资金流、人流“五流合一、互补共赢”的商贸物流供应链标准体系，探索多业态整合、仓配一体化的运作模式，将商贸物流港改造成区域城乡商贸、物流、信息枢纽中心，提高商贸流通运行效率。</w:t>
            </w:r>
          </w:p>
        </w:tc>
        <w:tc>
          <w:tcPr>
            <w:tcW w:w="132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甘肃</w:t>
            </w:r>
            <w:r>
              <w:rPr>
                <w:rFonts w:hint="eastAsia" w:ascii="仿宋_GB2312" w:hAnsi="仿宋_GB2312" w:eastAsia="仿宋_GB2312" w:cs="仿宋_GB2312"/>
                <w:sz w:val="24"/>
                <w:szCs w:val="24"/>
                <w:lang w:eastAsia="zh-CN"/>
              </w:rPr>
              <w:t>省</w:t>
            </w:r>
            <w:r>
              <w:rPr>
                <w:rFonts w:hint="eastAsia" w:ascii="仿宋_GB2312" w:hAnsi="仿宋_GB2312" w:eastAsia="仿宋_GB2312" w:cs="仿宋_GB2312"/>
                <w:sz w:val="24"/>
                <w:szCs w:val="24"/>
              </w:rPr>
              <w:t>陇南东盛物流有限公司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1" w:hRule="atLeast"/>
          <w:jc w:val="center"/>
        </w:trPr>
        <w:tc>
          <w:tcPr>
            <w:tcW w:w="753" w:type="dxa"/>
            <w:vAlign w:val="center"/>
          </w:tcPr>
          <w:p>
            <w:pPr>
              <w:jc w:val="center"/>
              <w:rPr>
                <w:rFonts w:ascii="黑体" w:hAnsi="黑体" w:eastAsia="黑体" w:cs="黑体"/>
                <w:sz w:val="24"/>
                <w:szCs w:val="24"/>
                <w:highlight w:val="red"/>
              </w:rPr>
            </w:pPr>
            <w:r>
              <w:rPr>
                <w:rFonts w:hint="eastAsia" w:ascii="黑体" w:hAnsi="黑体" w:eastAsia="黑体" w:cs="黑体"/>
                <w:sz w:val="24"/>
                <w:szCs w:val="24"/>
              </w:rPr>
              <w:t>8</w:t>
            </w:r>
          </w:p>
        </w:tc>
        <w:tc>
          <w:tcPr>
            <w:tcW w:w="1794"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标准化管理促进企业供应链体系建设。</w:t>
            </w:r>
          </w:p>
        </w:tc>
        <w:tc>
          <w:tcPr>
            <w:tcW w:w="5159" w:type="dxa"/>
            <w:gridSpan w:val="2"/>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通过构建商贸流通企业标准体系，在原材料、加工工艺、生产环境、设施设备、批发、物流配送、终端销售等全链条，提高企业标准化管理水平，建立起以美通一级批发市场为中心、3个城区二级批发市场为支撑、终端零售为网络的农产品现代流通三级市场网络供应链体系。</w:t>
            </w:r>
          </w:p>
        </w:tc>
        <w:tc>
          <w:tcPr>
            <w:tcW w:w="132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内蒙古食全食美股份有限公司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1" w:hRule="atLeast"/>
          <w:jc w:val="center"/>
        </w:trPr>
        <w:tc>
          <w:tcPr>
            <w:tcW w:w="753" w:type="dxa"/>
            <w:vAlign w:val="center"/>
          </w:tcPr>
          <w:p>
            <w:pPr>
              <w:jc w:val="center"/>
              <w:rPr>
                <w:rFonts w:hint="eastAsia" w:ascii="黑体" w:hAnsi="黑体" w:eastAsia="黑体" w:cs="黑体"/>
                <w:kern w:val="2"/>
                <w:sz w:val="24"/>
                <w:szCs w:val="24"/>
                <w:highlight w:val="red"/>
                <w:lang w:val="en-US" w:eastAsia="zh-CN" w:bidi="ar-SA"/>
              </w:rPr>
            </w:pPr>
            <w:r>
              <w:rPr>
                <w:rFonts w:hint="eastAsia" w:ascii="黑体" w:hAnsi="黑体" w:eastAsia="黑体" w:cs="黑体"/>
                <w:sz w:val="24"/>
                <w:szCs w:val="24"/>
                <w:lang w:val="en-US" w:eastAsia="zh-CN"/>
              </w:rPr>
              <w:t>9</w:t>
            </w:r>
          </w:p>
        </w:tc>
        <w:tc>
          <w:tcPr>
            <w:tcW w:w="1794" w:type="dxa"/>
            <w:vAlign w:val="center"/>
          </w:tcPr>
          <w:p>
            <w:pPr>
              <w:rPr>
                <w:rFonts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建立“1+1+N”工作机制，稳步推进商贸流通标准化协调发展。</w:t>
            </w:r>
          </w:p>
        </w:tc>
        <w:tc>
          <w:tcPr>
            <w:tcW w:w="5159" w:type="dxa"/>
            <w:gridSpan w:val="2"/>
            <w:vAlign w:val="center"/>
          </w:tcPr>
          <w:p>
            <w:pPr>
              <w:rPr>
                <w:rFonts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以绿色化、信息化和低碳环保等为切入点，建立“1+1+N”（即一个平台、一个标准体系以及包括市商务局、市场监管局、财政局、标准化院、四家试点企业以及商贸流通领域其它企业等多个单位共同参与）工作机制，发布实施《工业品仓储信息管理规范》等8项团体标准，组织试点企业和相关单位起草《商贸流通标准化工作指南》等市级地方标准、团体标准20余项，稳步推进商贸流通标准化协调发展。</w:t>
            </w:r>
          </w:p>
        </w:tc>
        <w:tc>
          <w:tcPr>
            <w:tcW w:w="1328" w:type="dxa"/>
            <w:vAlign w:val="center"/>
          </w:tcPr>
          <w:p>
            <w:pPr>
              <w:jc w:val="center"/>
              <w:rPr>
                <w:rFonts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大连市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9034" w:type="dxa"/>
            <w:gridSpan w:val="5"/>
            <w:vAlign w:val="center"/>
          </w:tcPr>
          <w:p>
            <w:pPr>
              <w:jc w:val="left"/>
              <w:rPr>
                <w:rFonts w:ascii="仿宋_GB2312" w:hAnsi="仿宋_GB2312" w:eastAsia="仿宋_GB2312" w:cs="仿宋_GB2312"/>
                <w:sz w:val="24"/>
                <w:szCs w:val="24"/>
              </w:rPr>
            </w:pPr>
            <w:r>
              <w:rPr>
                <w:rFonts w:hint="eastAsia" w:ascii="黑体" w:hAnsi="黑体" w:eastAsia="黑体" w:cs="黑体"/>
                <w:sz w:val="24"/>
                <w:szCs w:val="24"/>
              </w:rPr>
              <w:t>三、标准化引领流通行业绿色发展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1" w:hRule="atLeast"/>
          <w:jc w:val="center"/>
        </w:trPr>
        <w:tc>
          <w:tcPr>
            <w:tcW w:w="753" w:type="dxa"/>
            <w:vAlign w:val="center"/>
          </w:tcPr>
          <w:p>
            <w:pPr>
              <w:jc w:val="center"/>
              <w:rPr>
                <w:rFonts w:hint="default" w:ascii="黑体" w:hAnsi="黑体" w:eastAsia="黑体" w:cs="黑体"/>
                <w:kern w:val="2"/>
                <w:sz w:val="24"/>
                <w:szCs w:val="24"/>
                <w:highlight w:val="red"/>
                <w:lang w:val="en-US" w:eastAsia="zh-CN" w:bidi="ar-SA"/>
              </w:rPr>
            </w:pPr>
            <w:r>
              <w:rPr>
                <w:rFonts w:hint="eastAsia" w:ascii="黑体" w:hAnsi="黑体" w:eastAsia="黑体" w:cs="黑体"/>
                <w:sz w:val="24"/>
                <w:szCs w:val="24"/>
                <w:lang w:val="en-US" w:eastAsia="zh-CN"/>
              </w:rPr>
              <w:t>10</w:t>
            </w:r>
          </w:p>
        </w:tc>
        <w:tc>
          <w:tcPr>
            <w:tcW w:w="1794" w:type="dxa"/>
            <w:vAlign w:val="center"/>
          </w:tcPr>
          <w:p>
            <w:pP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构建人才标准及培养体系，助力餐饮行业绿色发展。</w:t>
            </w:r>
          </w:p>
        </w:tc>
        <w:tc>
          <w:tcPr>
            <w:tcW w:w="5159" w:type="dxa"/>
            <w:gridSpan w:val="2"/>
            <w:vAlign w:val="center"/>
          </w:tcPr>
          <w:p>
            <w:pP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将绿色化、标准化理念融入企业经营管理，建立岗位选人标准，明确招聘渠道标准，编制岗位工作标准手册，形成了一套选人、育人标准体系，创新标准落地方式方法，将岗位标准、流程，以“学习地图”的方式上线“隆聚商学院平台”，形成“隆聚经验”。</w:t>
            </w:r>
          </w:p>
        </w:tc>
        <w:tc>
          <w:tcPr>
            <w:tcW w:w="1328" w:type="dxa"/>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浙江隆聚餐饮集团股份有限公司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2" w:hRule="atLeast"/>
          <w:jc w:val="center"/>
        </w:trPr>
        <w:tc>
          <w:tcPr>
            <w:tcW w:w="753" w:type="dxa"/>
            <w:vAlign w:val="center"/>
          </w:tcPr>
          <w:p>
            <w:pPr>
              <w:jc w:val="center"/>
              <w:rPr>
                <w:rFonts w:ascii="黑体" w:hAnsi="黑体" w:eastAsia="黑体" w:cs="黑体"/>
                <w:sz w:val="24"/>
                <w:szCs w:val="24"/>
                <w:highlight w:val="red"/>
              </w:rPr>
            </w:pPr>
            <w:r>
              <w:rPr>
                <w:rFonts w:hint="eastAsia" w:ascii="黑体" w:hAnsi="黑体" w:eastAsia="黑体" w:cs="黑体"/>
                <w:sz w:val="24"/>
                <w:szCs w:val="24"/>
              </w:rPr>
              <w:t>11</w:t>
            </w:r>
          </w:p>
        </w:tc>
        <w:tc>
          <w:tcPr>
            <w:tcW w:w="1794"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构建“绿色咸宁”标准体系，激活城市发展新动能。</w:t>
            </w:r>
          </w:p>
        </w:tc>
        <w:tc>
          <w:tcPr>
            <w:tcW w:w="5159" w:type="dxa"/>
            <w:gridSpan w:val="2"/>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围绕高标准市场体系建设、培育壮大流通主体、提升消费层级,相继出台《关于印发推动高质量市场体系建设实施方案的通知》《关于加快“咸宁标准”建设推进绿色崛起的实施意见》《咸宁市标准化项目奖励办法》等系列文件，明确“十四五”</w:t>
            </w:r>
            <w:r>
              <w:rPr>
                <w:rFonts w:hint="eastAsia" w:ascii="仿宋_GB2312" w:hAnsi="仿宋_GB2312" w:eastAsia="仿宋_GB2312" w:cs="仿宋_GB2312"/>
                <w:sz w:val="24"/>
                <w:szCs w:val="24"/>
                <w:lang w:eastAsia="zh-CN"/>
              </w:rPr>
              <w:t>时</w:t>
            </w:r>
            <w:r>
              <w:rPr>
                <w:rFonts w:hint="eastAsia" w:ascii="仿宋_GB2312" w:hAnsi="仿宋_GB2312" w:eastAsia="仿宋_GB2312" w:cs="仿宋_GB2312"/>
                <w:sz w:val="24"/>
                <w:szCs w:val="24"/>
              </w:rPr>
              <w:t>期高质量发展标准化目标和方向，加大试点工作推进力度，构建“绿色咸宁”标准体系，以标准化推动商贸流通提质增效，促进产业转型升级，助力乡村振兴。</w:t>
            </w:r>
          </w:p>
        </w:tc>
        <w:tc>
          <w:tcPr>
            <w:tcW w:w="132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咸宁市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2" w:hRule="atLeast"/>
          <w:jc w:val="center"/>
        </w:trPr>
        <w:tc>
          <w:tcPr>
            <w:tcW w:w="753" w:type="dxa"/>
            <w:vAlign w:val="center"/>
          </w:tcPr>
          <w:p>
            <w:pPr>
              <w:jc w:val="center"/>
              <w:rPr>
                <w:rFonts w:ascii="黑体" w:hAnsi="黑体" w:eastAsia="黑体" w:cs="黑体"/>
                <w:sz w:val="24"/>
                <w:szCs w:val="24"/>
              </w:rPr>
            </w:pPr>
            <w:r>
              <w:rPr>
                <w:rFonts w:hint="eastAsia" w:ascii="黑体" w:hAnsi="黑体" w:eastAsia="黑体" w:cs="黑体"/>
                <w:sz w:val="24"/>
                <w:szCs w:val="24"/>
              </w:rPr>
              <w:t>12</w:t>
            </w:r>
          </w:p>
        </w:tc>
        <w:tc>
          <w:tcPr>
            <w:tcW w:w="1794"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以标准化引领连锁门店绿色化、规范化发展。</w:t>
            </w:r>
          </w:p>
        </w:tc>
        <w:tc>
          <w:tcPr>
            <w:tcW w:w="5159" w:type="dxa"/>
            <w:gridSpan w:val="2"/>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集线上、线下两个服务平台，连锁门店、电子商务、社群分享三大销售渠道于一体，通过在节能降耗、创新流通及服务模式、经营及供应链数字化等方面进行标准化，打造“商品+服务+产业生态经济”多元化经营体系，引领连锁门店绿色化、规范化发展。</w:t>
            </w:r>
          </w:p>
        </w:tc>
        <w:tc>
          <w:tcPr>
            <w:tcW w:w="132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江苏</w:t>
            </w:r>
            <w:r>
              <w:rPr>
                <w:rFonts w:hint="eastAsia" w:ascii="仿宋_GB2312" w:hAnsi="仿宋_GB2312" w:eastAsia="仿宋_GB2312" w:cs="仿宋_GB2312"/>
                <w:sz w:val="24"/>
                <w:szCs w:val="24"/>
                <w:lang w:eastAsia="zh-CN"/>
              </w:rPr>
              <w:t>省</w:t>
            </w:r>
            <w:r>
              <w:rPr>
                <w:rFonts w:hint="eastAsia" w:ascii="仿宋_GB2312" w:hAnsi="仿宋_GB2312" w:eastAsia="仿宋_GB2312" w:cs="仿宋_GB2312"/>
                <w:sz w:val="24"/>
                <w:szCs w:val="24"/>
              </w:rPr>
              <w:t>孩子王儿童用品股份有限公司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7" w:hRule="atLeast"/>
          <w:jc w:val="center"/>
        </w:trPr>
        <w:tc>
          <w:tcPr>
            <w:tcW w:w="753" w:type="dxa"/>
            <w:vAlign w:val="center"/>
          </w:tcPr>
          <w:p>
            <w:pPr>
              <w:jc w:val="center"/>
              <w:rPr>
                <w:rFonts w:ascii="黑体" w:hAnsi="黑体" w:eastAsia="黑体" w:cs="黑体"/>
                <w:sz w:val="24"/>
                <w:szCs w:val="24"/>
              </w:rPr>
            </w:pPr>
            <w:r>
              <w:rPr>
                <w:rFonts w:hint="eastAsia" w:ascii="黑体" w:hAnsi="黑体" w:eastAsia="黑体" w:cs="黑体"/>
                <w:sz w:val="24"/>
                <w:szCs w:val="24"/>
              </w:rPr>
              <w:t>13</w:t>
            </w:r>
          </w:p>
        </w:tc>
        <w:tc>
          <w:tcPr>
            <w:tcW w:w="1794"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标准化推动市场绿色交易服务水平显著提升。</w:t>
            </w:r>
          </w:p>
        </w:tc>
        <w:tc>
          <w:tcPr>
            <w:tcW w:w="5159" w:type="dxa"/>
            <w:gridSpan w:val="2"/>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着力构建</w:t>
            </w:r>
            <w:r>
              <w:rPr>
                <w:rFonts w:hint="eastAsia" w:ascii="仿宋_GB2312" w:hAnsi="仿宋_GB2312" w:eastAsia="仿宋_GB2312" w:cs="仿宋_GB2312"/>
                <w:sz w:val="24"/>
                <w:szCs w:val="24"/>
                <w:lang w:eastAsia="zh-CN"/>
              </w:rPr>
              <w:t>农产品质量安全</w:t>
            </w:r>
            <w:r>
              <w:rPr>
                <w:rFonts w:hint="eastAsia" w:ascii="仿宋_GB2312" w:hAnsi="仿宋_GB2312" w:eastAsia="仿宋_GB2312" w:cs="仿宋_GB2312"/>
                <w:sz w:val="24"/>
                <w:szCs w:val="24"/>
              </w:rPr>
              <w:t>检测标准化体系、溯源标准化体系、服务管理标准化体系，推进农产品市场绿色化、数字化、智能化升级改造，提升农产品</w:t>
            </w:r>
            <w:r>
              <w:rPr>
                <w:rFonts w:hint="eastAsia" w:ascii="仿宋_GB2312" w:hAnsi="仿宋_GB2312" w:eastAsia="仿宋_GB2312" w:cs="仿宋_GB2312"/>
                <w:sz w:val="24"/>
                <w:szCs w:val="24"/>
                <w:lang w:eastAsia="zh-CN"/>
              </w:rPr>
              <w:t>市场管理</w:t>
            </w:r>
            <w:r>
              <w:rPr>
                <w:rFonts w:hint="eastAsia" w:ascii="仿宋_GB2312" w:hAnsi="仿宋_GB2312" w:eastAsia="仿宋_GB2312" w:cs="仿宋_GB2312"/>
                <w:sz w:val="24"/>
                <w:szCs w:val="24"/>
              </w:rPr>
              <w:t>能力，逐步形成较为成熟且符合农产品批发市场现场实际操作的绿色交易服务标准化体系。</w:t>
            </w:r>
          </w:p>
        </w:tc>
        <w:tc>
          <w:tcPr>
            <w:tcW w:w="132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浙江嘉昕农产品股份有限公司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9034" w:type="dxa"/>
            <w:gridSpan w:val="5"/>
            <w:vAlign w:val="center"/>
          </w:tcPr>
          <w:p>
            <w:pPr>
              <w:jc w:val="left"/>
              <w:rPr>
                <w:rFonts w:ascii="仿宋_GB2312" w:hAnsi="仿宋_GB2312" w:eastAsia="仿宋_GB2312" w:cs="仿宋_GB2312"/>
                <w:sz w:val="24"/>
                <w:szCs w:val="24"/>
              </w:rPr>
            </w:pPr>
            <w:r>
              <w:rPr>
                <w:rFonts w:hint="eastAsia" w:ascii="黑体" w:hAnsi="黑体" w:eastAsia="黑体" w:cs="黑体"/>
                <w:sz w:val="24"/>
                <w:szCs w:val="24"/>
              </w:rPr>
              <w:t>四、标准化支撑商贸物流高效运行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4" w:hRule="atLeast"/>
          <w:jc w:val="center"/>
        </w:trPr>
        <w:tc>
          <w:tcPr>
            <w:tcW w:w="753" w:type="dxa"/>
            <w:vAlign w:val="center"/>
          </w:tcPr>
          <w:p>
            <w:pPr>
              <w:jc w:val="center"/>
              <w:rPr>
                <w:rFonts w:ascii="黑体" w:hAnsi="黑体" w:eastAsia="黑体" w:cs="黑体"/>
                <w:sz w:val="24"/>
                <w:szCs w:val="24"/>
              </w:rPr>
            </w:pPr>
            <w:r>
              <w:rPr>
                <w:rFonts w:hint="eastAsia" w:ascii="黑体" w:hAnsi="黑体" w:eastAsia="黑体" w:cs="黑体"/>
                <w:sz w:val="24"/>
                <w:szCs w:val="24"/>
              </w:rPr>
              <w:t>14</w:t>
            </w:r>
          </w:p>
        </w:tc>
        <w:tc>
          <w:tcPr>
            <w:tcW w:w="1794" w:type="dxa"/>
            <w:vAlign w:val="center"/>
          </w:tcPr>
          <w:p>
            <w:pPr>
              <w:tabs>
                <w:tab w:val="left" w:pos="1102"/>
              </w:tabs>
              <w:rPr>
                <w:rFonts w:ascii="仿宋_GB2312" w:hAnsi="仿宋_GB2312" w:eastAsia="仿宋_GB2312" w:cs="仿宋_GB2312"/>
                <w:sz w:val="24"/>
                <w:szCs w:val="24"/>
              </w:rPr>
            </w:pPr>
            <w:r>
              <w:rPr>
                <w:rFonts w:hint="eastAsia" w:ascii="仿宋_GB2312" w:hAnsi="仿宋_GB2312" w:eastAsia="仿宋_GB2312" w:cs="仿宋_GB2312"/>
                <w:sz w:val="24"/>
                <w:szCs w:val="24"/>
              </w:rPr>
              <w:t>打造标准化智慧供应链，实现管理和服务双提升。</w:t>
            </w:r>
          </w:p>
        </w:tc>
        <w:tc>
          <w:tcPr>
            <w:tcW w:w="5159" w:type="dxa"/>
            <w:gridSpan w:val="2"/>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以客户及用户最佳体验为目标，在智能制造和流通服务两大供应链物流场景下，制定和应用系列智慧物流技术标准和服务标准，打造标准化的智慧供应链解决方案，构建起覆盖全国、进村入户的仓储物流和服务网络，有效实现物流资源的智能管理和协同调度，提升了物流全流程管理效率和作业效率，形成仓配一体、送装同步的差异化场景物流服务模式，实现管理和服务双提升。</w:t>
            </w:r>
          </w:p>
        </w:tc>
        <w:tc>
          <w:tcPr>
            <w:tcW w:w="132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eastAsia="zh-CN"/>
              </w:rPr>
              <w:t>青岛市</w:t>
            </w:r>
            <w:r>
              <w:rPr>
                <w:rFonts w:hint="eastAsia" w:ascii="仿宋_GB2312" w:hAnsi="仿宋_GB2312" w:eastAsia="仿宋_GB2312" w:cs="仿宋_GB2312"/>
                <w:sz w:val="24"/>
                <w:szCs w:val="24"/>
              </w:rPr>
              <w:t>日日顺供应链科技股份有限公司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5" w:hRule="atLeast"/>
          <w:jc w:val="center"/>
        </w:trPr>
        <w:tc>
          <w:tcPr>
            <w:tcW w:w="753" w:type="dxa"/>
            <w:vAlign w:val="center"/>
          </w:tcPr>
          <w:p>
            <w:pPr>
              <w:jc w:val="center"/>
              <w:rPr>
                <w:rFonts w:ascii="黑体" w:hAnsi="黑体" w:eastAsia="黑体" w:cs="黑体"/>
                <w:sz w:val="24"/>
                <w:szCs w:val="24"/>
              </w:rPr>
            </w:pPr>
            <w:r>
              <w:rPr>
                <w:rFonts w:hint="eastAsia" w:ascii="黑体" w:hAnsi="黑体" w:eastAsia="黑体" w:cs="黑体"/>
                <w:sz w:val="24"/>
                <w:szCs w:val="24"/>
              </w:rPr>
              <w:t>15</w:t>
            </w:r>
          </w:p>
        </w:tc>
        <w:tc>
          <w:tcPr>
            <w:tcW w:w="1794"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操作流程标准化提升配送效率与配送质量。</w:t>
            </w:r>
          </w:p>
        </w:tc>
        <w:tc>
          <w:tcPr>
            <w:tcW w:w="5159" w:type="dxa"/>
            <w:gridSpan w:val="2"/>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通过业务操作流程化、制度管理科学化、岗位职责规范标准化、冷链配送实操标准化，建立了涵盖业务操作流程、业务服务保障、实时跟踪监测以及应急保障等为主要内容的企业标准体系，实现优质、高效、快捷、安全的配送。</w:t>
            </w:r>
          </w:p>
        </w:tc>
        <w:tc>
          <w:tcPr>
            <w:tcW w:w="132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北京九合优鲜生态农业科技发展有限公司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3" w:hRule="atLeast"/>
          <w:jc w:val="center"/>
        </w:trPr>
        <w:tc>
          <w:tcPr>
            <w:tcW w:w="753" w:type="dxa"/>
            <w:vAlign w:val="center"/>
          </w:tcPr>
          <w:p>
            <w:pPr>
              <w:jc w:val="center"/>
              <w:rPr>
                <w:rFonts w:ascii="黑体" w:hAnsi="黑体" w:eastAsia="黑体" w:cs="黑体"/>
                <w:sz w:val="24"/>
                <w:szCs w:val="24"/>
              </w:rPr>
            </w:pPr>
            <w:r>
              <w:rPr>
                <w:rFonts w:hint="eastAsia" w:ascii="黑体" w:hAnsi="黑体" w:eastAsia="黑体" w:cs="黑体"/>
                <w:sz w:val="24"/>
                <w:szCs w:val="24"/>
              </w:rPr>
              <w:t>16</w:t>
            </w:r>
          </w:p>
        </w:tc>
        <w:tc>
          <w:tcPr>
            <w:tcW w:w="1794"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构建医药物流标准体系，推动医药流通降本增效。</w:t>
            </w:r>
          </w:p>
        </w:tc>
        <w:tc>
          <w:tcPr>
            <w:tcW w:w="5159" w:type="dxa"/>
            <w:gridSpan w:val="2"/>
            <w:vAlign w:val="center"/>
          </w:tcPr>
          <w:p>
            <w:r>
              <w:rPr>
                <w:rFonts w:hint="eastAsia" w:ascii="仿宋_GB2312" w:hAnsi="仿宋_GB2312" w:eastAsia="仿宋_GB2312" w:cs="仿宋_GB2312"/>
                <w:sz w:val="24"/>
                <w:szCs w:val="24"/>
              </w:rPr>
              <w:t>建立物流标准化管理机制，自主开发集经营管理、仓储管理和物流配送等于一体的现代物流技术和信息管理系统，推进设施设备标准化升级改造，构建了涵盖基础标准、管理标准和评价标准的物流标准化管理体系框架，规范物流标准化运行流程，提升专业化、规范化服务水平。</w:t>
            </w:r>
          </w:p>
        </w:tc>
        <w:tc>
          <w:tcPr>
            <w:tcW w:w="132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重庆九州通医药有限公司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9034" w:type="dxa"/>
            <w:gridSpan w:val="5"/>
            <w:vAlign w:val="center"/>
          </w:tcPr>
          <w:p>
            <w:pPr>
              <w:jc w:val="left"/>
              <w:rPr>
                <w:rFonts w:ascii="仿宋_GB2312" w:hAnsi="仿宋_GB2312" w:eastAsia="仿宋_GB2312" w:cs="仿宋_GB2312"/>
                <w:sz w:val="24"/>
                <w:szCs w:val="24"/>
              </w:rPr>
            </w:pPr>
            <w:r>
              <w:rPr>
                <w:rFonts w:hint="eastAsia" w:ascii="黑体" w:hAnsi="黑体" w:eastAsia="黑体" w:cs="黑体"/>
                <w:sz w:val="24"/>
                <w:szCs w:val="24"/>
              </w:rPr>
              <w:t>五、标准化促进内外贸一体化发展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4" w:hRule="atLeast"/>
          <w:jc w:val="center"/>
        </w:trPr>
        <w:tc>
          <w:tcPr>
            <w:tcW w:w="753" w:type="dxa"/>
            <w:vAlign w:val="center"/>
          </w:tcPr>
          <w:p>
            <w:pPr>
              <w:jc w:val="center"/>
              <w:rPr>
                <w:rFonts w:ascii="黑体" w:hAnsi="黑体" w:eastAsia="黑体" w:cs="黑体"/>
                <w:sz w:val="24"/>
                <w:szCs w:val="24"/>
              </w:rPr>
            </w:pPr>
            <w:r>
              <w:rPr>
                <w:rFonts w:hint="eastAsia" w:ascii="黑体" w:hAnsi="黑体" w:eastAsia="黑体" w:cs="黑体"/>
                <w:sz w:val="24"/>
                <w:szCs w:val="24"/>
              </w:rPr>
              <w:t>17</w:t>
            </w:r>
          </w:p>
        </w:tc>
        <w:tc>
          <w:tcPr>
            <w:tcW w:w="1794"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实施“标准化+”战略，打造具有国际水平的“青岛标准”。</w:t>
            </w:r>
          </w:p>
        </w:tc>
        <w:tc>
          <w:tcPr>
            <w:tcW w:w="5159" w:type="dxa"/>
            <w:gridSpan w:val="2"/>
            <w:vAlign w:val="center"/>
          </w:tcPr>
          <w:p>
            <w:r>
              <w:rPr>
                <w:rFonts w:hint="eastAsia" w:ascii="仿宋_GB2312" w:hAnsi="仿宋_GB2312" w:eastAsia="仿宋_GB2312" w:cs="仿宋_GB2312"/>
                <w:sz w:val="24"/>
                <w:szCs w:val="24"/>
              </w:rPr>
              <w:t>围绕跨境电商、分布式海外仓、国际供应链等重点领域，以提高产品质量和服务水平为目标，制定商贸流通标准化发展规划和标准化工作管理办法，以点带面构建以国家标准和行业标准为主体</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地方标准为补充的内外贸一体化标准体系，积极搭建国际标准化交流合作平台，打造统一的要素和资源市场，推动商品和服务市场高水平统一。</w:t>
            </w:r>
          </w:p>
        </w:tc>
        <w:tc>
          <w:tcPr>
            <w:tcW w:w="132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青岛市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5" w:hRule="atLeast"/>
          <w:jc w:val="center"/>
        </w:trPr>
        <w:tc>
          <w:tcPr>
            <w:tcW w:w="753" w:type="dxa"/>
            <w:vAlign w:val="center"/>
          </w:tcPr>
          <w:p>
            <w:pPr>
              <w:jc w:val="center"/>
              <w:rPr>
                <w:rFonts w:ascii="黑体" w:hAnsi="黑体" w:eastAsia="黑体" w:cs="黑体"/>
                <w:sz w:val="24"/>
                <w:szCs w:val="24"/>
              </w:rPr>
            </w:pPr>
            <w:r>
              <w:rPr>
                <w:rFonts w:hint="eastAsia" w:ascii="黑体" w:hAnsi="黑体" w:eastAsia="黑体" w:cs="黑体"/>
                <w:sz w:val="24"/>
                <w:szCs w:val="24"/>
              </w:rPr>
              <w:t>18</w:t>
            </w:r>
          </w:p>
        </w:tc>
        <w:tc>
          <w:tcPr>
            <w:tcW w:w="1794"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“标准化体系”+“三同”提升内外贸一体化管理水平。</w:t>
            </w:r>
          </w:p>
        </w:tc>
        <w:tc>
          <w:tcPr>
            <w:tcW w:w="5159" w:type="dxa"/>
            <w:gridSpan w:val="2"/>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通过对流通过程管理理念、产品技术、服务规范的提炼总结，创新“标准化体系+三同（同线、同质、同标）”管理模式，打造“三同”认证产品，推动国内外标准互联互通，以标准化建设带动内外贸领域认证、检验检疫衔接，提升产品内外贸一体化综合管理水平，实现内外贸一体化发展。</w:t>
            </w:r>
          </w:p>
        </w:tc>
        <w:tc>
          <w:tcPr>
            <w:tcW w:w="132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山东美佳集团有限公司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4" w:hRule="atLeast"/>
          <w:jc w:val="center"/>
        </w:trPr>
        <w:tc>
          <w:tcPr>
            <w:tcW w:w="753" w:type="dxa"/>
            <w:vAlign w:val="center"/>
          </w:tcPr>
          <w:p>
            <w:pPr>
              <w:jc w:val="center"/>
              <w:rPr>
                <w:rFonts w:ascii="黑体" w:hAnsi="黑体" w:eastAsia="黑体" w:cs="黑体"/>
                <w:sz w:val="24"/>
                <w:szCs w:val="24"/>
              </w:rPr>
            </w:pPr>
            <w:r>
              <w:rPr>
                <w:rFonts w:hint="eastAsia" w:ascii="黑体" w:hAnsi="黑体" w:eastAsia="黑体" w:cs="黑体"/>
                <w:sz w:val="24"/>
                <w:szCs w:val="24"/>
              </w:rPr>
              <w:t>19</w:t>
            </w:r>
          </w:p>
        </w:tc>
        <w:tc>
          <w:tcPr>
            <w:tcW w:w="1794"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夯实标准化基础，构建跨境电商全业务链条供应链体系。</w:t>
            </w:r>
          </w:p>
        </w:tc>
        <w:tc>
          <w:tcPr>
            <w:tcW w:w="5159" w:type="dxa"/>
            <w:gridSpan w:val="2"/>
            <w:vAlign w:val="center"/>
          </w:tcPr>
          <w:p>
            <w:r>
              <w:rPr>
                <w:rFonts w:hint="eastAsia" w:ascii="仿宋_GB2312" w:hAnsi="仿宋_GB2312" w:eastAsia="仿宋_GB2312" w:cs="仿宋_GB2312"/>
                <w:sz w:val="24"/>
                <w:szCs w:val="24"/>
              </w:rPr>
              <w:t>围绕产品、数据、流程、服务，以大数据为支撑，以云端外贸综合服务平台“贸互达”为载体，通过与关、检、汇、税等监管服务机构系统直接对接，将流程与岗位职责、制度、标准、考核以及风控体系融合，建立起以流程为主线的供应链标准体系，打通专业、部门、层级壁垒，提高工作协同和业务执行效率，推动管理体系协同运转，有效支撑公司的运营建设，服务内外贸一体化发展。</w:t>
            </w:r>
          </w:p>
        </w:tc>
        <w:tc>
          <w:tcPr>
            <w:tcW w:w="132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江苏跨境电子商务服务有限公司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1" w:hRule="atLeast"/>
          <w:jc w:val="center"/>
        </w:trPr>
        <w:tc>
          <w:tcPr>
            <w:tcW w:w="753" w:type="dxa"/>
            <w:vAlign w:val="center"/>
          </w:tcPr>
          <w:p>
            <w:pPr>
              <w:jc w:val="center"/>
              <w:rPr>
                <w:rFonts w:ascii="黑体" w:hAnsi="黑体" w:eastAsia="黑体" w:cs="黑体"/>
                <w:sz w:val="24"/>
                <w:szCs w:val="24"/>
              </w:rPr>
            </w:pPr>
            <w:r>
              <w:rPr>
                <w:rFonts w:hint="eastAsia" w:ascii="黑体" w:hAnsi="黑体" w:eastAsia="黑体" w:cs="黑体"/>
                <w:sz w:val="24"/>
                <w:szCs w:val="24"/>
              </w:rPr>
              <w:t>20</w:t>
            </w:r>
          </w:p>
        </w:tc>
        <w:tc>
          <w:tcPr>
            <w:tcW w:w="1794"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标准化助力国际货运代理服务品牌效益双升级。</w:t>
            </w:r>
          </w:p>
        </w:tc>
        <w:tc>
          <w:tcPr>
            <w:tcW w:w="5159" w:type="dxa"/>
            <w:gridSpan w:val="2"/>
            <w:vAlign w:val="center"/>
          </w:tcPr>
          <w:p>
            <w:r>
              <w:rPr>
                <w:rFonts w:hint="eastAsia" w:ascii="仿宋_GB2312" w:hAnsi="仿宋_GB2312" w:eastAsia="仿宋_GB2312" w:cs="仿宋_GB2312"/>
                <w:sz w:val="24"/>
                <w:szCs w:val="24"/>
              </w:rPr>
              <w:t>通过建立标准化机制、完善标准体系、推动标准实施应用，将标准化嵌入到货运代理服务全业务、全流程，以标准规范企业经营行为，逐步提升服务能力，实现服务标准化，助力服务品牌效益双升级，提升国际供应链建设水平。</w:t>
            </w:r>
          </w:p>
        </w:tc>
        <w:tc>
          <w:tcPr>
            <w:tcW w:w="132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eastAsia="zh-CN"/>
              </w:rPr>
              <w:t>湖南省</w:t>
            </w:r>
            <w:r>
              <w:rPr>
                <w:rFonts w:hint="eastAsia" w:ascii="仿宋_GB2312" w:hAnsi="仿宋_GB2312" w:eastAsia="仿宋_GB2312" w:cs="仿宋_GB2312"/>
                <w:sz w:val="24"/>
                <w:szCs w:val="24"/>
              </w:rPr>
              <w:t>浩通国际货运代理有限公司</w:t>
            </w:r>
          </w:p>
        </w:tc>
      </w:tr>
    </w:tbl>
    <w:p>
      <w:pPr>
        <w:jc w:val="left"/>
        <w:rPr>
          <w:rFonts w:ascii="仿宋_GB2312" w:eastAsia="仿宋_GB2312"/>
          <w:spacing w:val="-20"/>
          <w:sz w:val="32"/>
          <w:szCs w:val="32"/>
        </w:rPr>
      </w:pPr>
      <w:r>
        <w:rPr>
          <w:rFonts w:hint="eastAsia" w:ascii="仿宋_GB2312" w:eastAsia="仿宋_GB2312"/>
          <w:sz w:val="32"/>
          <w:szCs w:val="32"/>
        </w:rPr>
        <w:t>可登录商务部市场建设司网站</w:t>
      </w:r>
      <w:r>
        <w:rPr>
          <w:rFonts w:hint="eastAsia" w:ascii="仿宋_GB2312" w:eastAsia="仿宋_GB2312"/>
          <w:spacing w:val="-20"/>
          <w:sz w:val="32"/>
          <w:szCs w:val="32"/>
        </w:rPr>
        <w:t>（http://scjss.mofcom.gov.cn）和市场监管总局标准技术司网站</w:t>
      </w:r>
      <w:r>
        <w:rPr>
          <w:rFonts w:hint="eastAsia" w:ascii="仿宋_GB2312" w:eastAsia="仿宋_GB2312"/>
          <w:spacing w:val="-34"/>
          <w:sz w:val="32"/>
          <w:szCs w:val="32"/>
        </w:rPr>
        <w:t>（https://www.samr.gov.cn/bzjss/）</w:t>
      </w:r>
      <w:r>
        <w:rPr>
          <w:rFonts w:hint="eastAsia" w:ascii="仿宋_GB2312" w:eastAsia="仿宋_GB2312"/>
          <w:spacing w:val="-20"/>
          <w:sz w:val="32"/>
          <w:szCs w:val="32"/>
        </w:rPr>
        <w:t>下载《国家级服务业标准化试点（商贸流通专项）案例汇编》电子版。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等线">
    <w:altName w:val="汉仪仿宋S"/>
    <w:panose1 w:val="00000000000000000000"/>
    <w:charset w:val="00"/>
    <w:family w:val="auto"/>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 w:name="DejaVu Sans">
    <w:panose1 w:val="020B0603030804020204"/>
    <w:charset w:val="00"/>
    <w:family w:val="auto"/>
    <w:pitch w:val="default"/>
    <w:sig w:usb0="E7006EFF" w:usb1="D200FDFF" w:usb2="0A246029" w:usb3="0400200C" w:csb0="600001FF" w:csb1="DFFF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4A9"/>
    <w:rsid w:val="00097819"/>
    <w:rsid w:val="000D36B2"/>
    <w:rsid w:val="000D3FF6"/>
    <w:rsid w:val="000D7AC7"/>
    <w:rsid w:val="002A7494"/>
    <w:rsid w:val="0032355F"/>
    <w:rsid w:val="00404CE3"/>
    <w:rsid w:val="005103AC"/>
    <w:rsid w:val="005228BA"/>
    <w:rsid w:val="00544ECD"/>
    <w:rsid w:val="005E6CAB"/>
    <w:rsid w:val="005F54A9"/>
    <w:rsid w:val="00610955"/>
    <w:rsid w:val="00632F3D"/>
    <w:rsid w:val="00635FF0"/>
    <w:rsid w:val="00636569"/>
    <w:rsid w:val="006D1591"/>
    <w:rsid w:val="006F161B"/>
    <w:rsid w:val="00791D56"/>
    <w:rsid w:val="007A2065"/>
    <w:rsid w:val="007F0BE1"/>
    <w:rsid w:val="007F2069"/>
    <w:rsid w:val="00855D66"/>
    <w:rsid w:val="008E57FA"/>
    <w:rsid w:val="00927286"/>
    <w:rsid w:val="00A23D6E"/>
    <w:rsid w:val="00A90C80"/>
    <w:rsid w:val="00BA6536"/>
    <w:rsid w:val="00C434E9"/>
    <w:rsid w:val="00C6016F"/>
    <w:rsid w:val="00C95E73"/>
    <w:rsid w:val="00CC197E"/>
    <w:rsid w:val="00D34A86"/>
    <w:rsid w:val="00E0613F"/>
    <w:rsid w:val="00E2770E"/>
    <w:rsid w:val="00F520BC"/>
    <w:rsid w:val="00F67EB8"/>
    <w:rsid w:val="00F72609"/>
    <w:rsid w:val="00FE72E0"/>
    <w:rsid w:val="11BE5E91"/>
    <w:rsid w:val="1E7F563E"/>
    <w:rsid w:val="3EF7AB2E"/>
    <w:rsid w:val="5BFBE070"/>
    <w:rsid w:val="5EDF42AE"/>
    <w:rsid w:val="6F7D3AC1"/>
    <w:rsid w:val="79F828A5"/>
    <w:rsid w:val="7ADEE190"/>
    <w:rsid w:val="7BFB79C0"/>
    <w:rsid w:val="7D7F8A89"/>
    <w:rsid w:val="7EF7226D"/>
    <w:rsid w:val="BAF94BFC"/>
    <w:rsid w:val="CD5BCC25"/>
    <w:rsid w:val="CFFF2621"/>
    <w:rsid w:val="DD7BAFE9"/>
    <w:rsid w:val="DFF8ECE5"/>
    <w:rsid w:val="FD4F235A"/>
    <w:rsid w:val="FE7D9D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9"/>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unhideWhenUsed/>
    <w:qFormat/>
    <w:uiPriority w:val="0"/>
    <w:rPr>
      <w:sz w:val="18"/>
      <w:szCs w:val="18"/>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标题 1 Char"/>
    <w:basedOn w:val="8"/>
    <w:link w:val="2"/>
    <w:qFormat/>
    <w:uiPriority w:val="0"/>
    <w:rPr>
      <w:rFonts w:asciiTheme="minorHAnsi" w:hAnsiTheme="minorHAnsi" w:eastAsiaTheme="minorEastAsia" w:cstheme="minorBidi"/>
      <w:b/>
      <w:bCs/>
      <w:kern w:val="44"/>
      <w:sz w:val="44"/>
      <w:szCs w:val="44"/>
    </w:rPr>
  </w:style>
  <w:style w:type="character" w:customStyle="1" w:styleId="10">
    <w:name w:val="页眉 Char"/>
    <w:basedOn w:val="8"/>
    <w:link w:val="5"/>
    <w:qFormat/>
    <w:uiPriority w:val="0"/>
    <w:rPr>
      <w:rFonts w:asciiTheme="minorHAnsi" w:hAnsiTheme="minorHAnsi" w:eastAsiaTheme="minorEastAsia" w:cstheme="minorBidi"/>
      <w:kern w:val="2"/>
      <w:sz w:val="18"/>
      <w:szCs w:val="18"/>
    </w:rPr>
  </w:style>
  <w:style w:type="character" w:customStyle="1" w:styleId="11">
    <w:name w:val="页脚 Char"/>
    <w:basedOn w:val="8"/>
    <w:link w:val="4"/>
    <w:qFormat/>
    <w:uiPriority w:val="0"/>
    <w:rPr>
      <w:rFonts w:asciiTheme="minorHAnsi" w:hAnsiTheme="minorHAnsi" w:eastAsiaTheme="minorEastAsia" w:cstheme="minorBidi"/>
      <w:kern w:val="2"/>
      <w:sz w:val="18"/>
      <w:szCs w:val="18"/>
    </w:rPr>
  </w:style>
  <w:style w:type="character" w:customStyle="1" w:styleId="12">
    <w:name w:val="批注框文本 Char"/>
    <w:basedOn w:val="8"/>
    <w:link w:val="3"/>
    <w:semiHidden/>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708</Words>
  <Characters>4041</Characters>
  <Lines>33</Lines>
  <Paragraphs>9</Paragraphs>
  <TotalTime>8</TotalTime>
  <ScaleCrop>false</ScaleCrop>
  <LinksUpToDate>false</LinksUpToDate>
  <CharactersWithSpaces>4740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2022-11-26T02:47:00Z</dcterms:created>
  <dc:creator>wm</dc:creator>
  <cp:lastModifiedBy>xiaoqiang</cp:lastModifiedBy>
  <cp:lastPrinted>2023-01-20T16:47:00Z</cp:lastPrinted>
  <dcterms:modified xsi:type="dcterms:W3CDTF">2023-01-30T10:21:46Z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